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仿宋_GB2312" w:eastAsia="仿宋_GB2312"/>
          <w:sz w:val="36"/>
          <w:szCs w:val="36"/>
        </w:rPr>
      </w:pPr>
      <w:bookmarkStart w:id="0" w:name="_GoBack"/>
      <w:bookmarkEnd w:id="0"/>
      <w:r>
        <w:rPr>
          <w:rFonts w:hint="eastAsia" w:ascii="仿宋_GB2312" w:eastAsia="仿宋_GB2312"/>
          <w:sz w:val="36"/>
          <w:szCs w:val="36"/>
        </w:rPr>
        <w:t>附件:</w:t>
      </w:r>
    </w:p>
    <w:p>
      <w:pPr>
        <w:spacing w:line="600" w:lineRule="exact"/>
        <w:jc w:val="left"/>
        <w:rPr>
          <w:rFonts w:ascii="仿宋_GB2312" w:eastAsia="仿宋_GB2312"/>
          <w:sz w:val="36"/>
          <w:szCs w:val="36"/>
        </w:rPr>
      </w:pPr>
    </w:p>
    <w:p>
      <w:pPr>
        <w:spacing w:line="600" w:lineRule="exact"/>
        <w:jc w:val="center"/>
        <w:rPr>
          <w:rFonts w:ascii="仿宋_GB2312" w:eastAsia="仿宋_GB2312"/>
          <w:b/>
          <w:sz w:val="44"/>
          <w:szCs w:val="44"/>
        </w:rPr>
      </w:pPr>
      <w:r>
        <w:rPr>
          <w:rFonts w:hint="eastAsia" w:ascii="仿宋_GB2312" w:eastAsia="仿宋_GB2312"/>
          <w:b/>
          <w:sz w:val="44"/>
          <w:szCs w:val="44"/>
        </w:rPr>
        <w:t>2</w:t>
      </w:r>
      <w:r>
        <w:rPr>
          <w:rFonts w:ascii="仿宋_GB2312" w:eastAsia="仿宋_GB2312"/>
          <w:b/>
          <w:sz w:val="44"/>
          <w:szCs w:val="44"/>
        </w:rPr>
        <w:t>022</w:t>
      </w:r>
      <w:r>
        <w:rPr>
          <w:rFonts w:hint="eastAsia" w:ascii="仿宋_GB2312" w:eastAsia="仿宋_GB2312"/>
          <w:b/>
          <w:sz w:val="44"/>
          <w:szCs w:val="44"/>
        </w:rPr>
        <w:t>年上半年银行业专业人员职业</w:t>
      </w:r>
    </w:p>
    <w:p>
      <w:pPr>
        <w:spacing w:line="600" w:lineRule="exact"/>
        <w:jc w:val="center"/>
        <w:rPr>
          <w:rFonts w:ascii="仿宋_GB2312" w:eastAsia="仿宋_GB2312"/>
          <w:b/>
          <w:sz w:val="44"/>
          <w:szCs w:val="44"/>
        </w:rPr>
      </w:pPr>
      <w:r>
        <w:rPr>
          <w:rFonts w:hint="eastAsia" w:ascii="仿宋_GB2312" w:eastAsia="仿宋_GB2312"/>
          <w:b/>
          <w:sz w:val="44"/>
          <w:szCs w:val="44"/>
        </w:rPr>
        <w:t>资格考试疫情防控要求</w:t>
      </w:r>
    </w:p>
    <w:p>
      <w:pPr>
        <w:spacing w:line="600" w:lineRule="exact"/>
        <w:rPr>
          <w:b/>
          <w:bCs/>
          <w:sz w:val="36"/>
          <w:szCs w:val="36"/>
        </w:rPr>
      </w:pPr>
    </w:p>
    <w:p>
      <w:pPr>
        <w:widowControl/>
        <w:spacing w:line="600" w:lineRule="exact"/>
        <w:ind w:firstLine="720" w:firstLineChars="200"/>
        <w:rPr>
          <w:rFonts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 xml:space="preserve">一、所有考生在备考期间，要做好自我防护，应避免考前14天内有境内中、高风险地区、考前21天有国外境外旅居史；避免与确诊病例、疑似病例、无症状感染者及中、高风险地区人员接触；避免去人群流动性较大、人群密集的场所聚集。   </w:t>
      </w:r>
    </w:p>
    <w:p>
      <w:pPr>
        <w:widowControl/>
        <w:spacing w:line="600" w:lineRule="exact"/>
        <w:ind w:firstLine="720" w:firstLineChars="200"/>
        <w:rPr>
          <w:rFonts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二、所有考生考前打印准考证时，需在考试服务平台签署《应考人员安全承诺书 》，进入考场当天签署书面《考生考试安全承诺书及考场情况记录表》。</w:t>
      </w:r>
    </w:p>
    <w:p>
      <w:pPr>
        <w:widowControl/>
        <w:spacing w:line="600" w:lineRule="exact"/>
        <w:ind w:firstLine="720" w:firstLineChars="200"/>
        <w:rPr>
          <w:rFonts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三、所有考生持“健康码”、“大数据通行码”均为绿码（通行码查询中如途径地区有星号的，则不能参加考试，本地除外），且持本人考前</w:t>
      </w:r>
      <w:r>
        <w:rPr>
          <w:rFonts w:ascii="仿宋_GB2312" w:hAnsi="仿宋_GB2312" w:eastAsia="仿宋_GB2312" w:cs="仿宋_GB2312"/>
          <w:color w:val="000000"/>
          <w:kern w:val="0"/>
          <w:sz w:val="36"/>
          <w:szCs w:val="36"/>
        </w:rPr>
        <w:t>48小时内新冠肺炎病毒核酸检测阴性报告</w:t>
      </w:r>
      <w:r>
        <w:rPr>
          <w:rFonts w:hint="eastAsia" w:ascii="仿宋_GB2312" w:hAnsi="仿宋_GB2312" w:eastAsia="仿宋_GB2312" w:cs="仿宋_GB2312"/>
          <w:color w:val="000000"/>
          <w:kern w:val="0"/>
          <w:sz w:val="36"/>
          <w:szCs w:val="36"/>
        </w:rPr>
        <w:t>（核酸检测报告需为全国范围内具有新冠肺炎病毒检测资质的机构出具的纸版或电子报告。如考试所在地另有防控要求，请考生及时关注手机短信通知，遵照考试所在地最新防控政策执行）</w:t>
      </w:r>
      <w:r>
        <w:rPr>
          <w:rFonts w:ascii="仿宋_GB2312" w:hAnsi="仿宋_GB2312" w:eastAsia="仿宋_GB2312" w:cs="仿宋_GB2312"/>
          <w:color w:val="000000"/>
          <w:kern w:val="0"/>
          <w:sz w:val="36"/>
          <w:szCs w:val="36"/>
        </w:rPr>
        <w:t>，</w:t>
      </w:r>
      <w:r>
        <w:rPr>
          <w:rFonts w:hint="eastAsia" w:ascii="仿宋_GB2312" w:hAnsi="仿宋_GB2312" w:eastAsia="仿宋_GB2312" w:cs="仿宋_GB2312"/>
          <w:color w:val="000000"/>
          <w:kern w:val="0"/>
          <w:sz w:val="36"/>
          <w:szCs w:val="36"/>
        </w:rPr>
        <w:t>并在现场测量体温（&lt;37.3度）且无咳嗽等呼吸道异常症状，方可进入考点参加考试。上述四个条件缺一不可。</w:t>
      </w:r>
    </w:p>
    <w:p>
      <w:pPr>
        <w:widowControl/>
        <w:spacing w:line="600" w:lineRule="exact"/>
        <w:ind w:firstLine="720" w:firstLineChars="200"/>
        <w:rPr>
          <w:rFonts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四、考生不得隐瞒行程、隐瞒病情、故意压制症状、瞒报健康情况以及伪造新冠肺炎病毒核酸检测阴性报告，若故意隐瞒以上情况或提供虚假检测报告并且参加考试，造成疫情传播者，应当依法承担相关法律责任。</w:t>
      </w:r>
    </w:p>
    <w:p>
      <w:pPr>
        <w:widowControl/>
        <w:spacing w:line="600" w:lineRule="exact"/>
        <w:ind w:firstLine="720" w:firstLineChars="200"/>
        <w:rPr>
          <w:rFonts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五、鉴于疫情防控要求以及考虑到可能出现的疫情风险，请广大考生务必密切关注公众号发布的相关考试信息，并保持手机畅通。</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A4285E"/>
    <w:rsid w:val="2532683B"/>
    <w:rsid w:val="32A4285E"/>
    <w:rsid w:val="59B35463"/>
    <w:rsid w:val="5B963C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561</Words>
  <Characters>571</Characters>
  <Lines>0</Lines>
  <Paragraphs>0</Paragraphs>
  <TotalTime>0</TotalTime>
  <ScaleCrop>false</ScaleCrop>
  <LinksUpToDate>false</LinksUpToDate>
  <CharactersWithSpaces>575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2022-06-13T07:50:00Z</dcterms:created>
  <dc:creator>孟</dc:creator>
  <cp:lastModifiedBy>教务</cp:lastModifiedBy>
  <dcterms:modified xsi:type="dcterms:W3CDTF">2022-06-13T09:07:07Z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7273D59DC3694E46A3CB477971E4AF8C</vt:lpwstr>
  </property>
</Properties>
</file>